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 xml:space="preserve">График проведения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 xml:space="preserve">горячей линии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 xml:space="preserve">по мониторингу применения новой системы оплаты труда работников бюджетных организаций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</w:p>
    <w:tbl>
      <w:tblPr/>
      <w:tblGrid>
        <w:gridCol w:w="2390"/>
        <w:gridCol w:w="958"/>
        <w:gridCol w:w="958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>
        <w:trPr>
          <w:trHeight w:val="1" w:hRule="atLeast"/>
          <w:jc w:val="left"/>
        </w:trPr>
        <w:tc>
          <w:tcPr>
            <w:tcW w:w="2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0"/>
                <w:shd w:fill="auto" w:val="clear"/>
              </w:rPr>
              <w:t xml:space="preserve">Понедельник</w:t>
            </w:r>
          </w:p>
        </w:tc>
        <w:tc>
          <w:tcPr>
            <w:tcW w:w="16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0"/>
                <w:shd w:fill="auto" w:val="clear"/>
              </w:rPr>
              <w:t xml:space="preserve">Вторник</w:t>
            </w:r>
          </w:p>
        </w:tc>
        <w:tc>
          <w:tcPr>
            <w:tcW w:w="16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0"/>
                <w:shd w:fill="auto" w:val="clear"/>
              </w:rPr>
              <w:t xml:space="preserve">Среда</w:t>
            </w:r>
          </w:p>
        </w:tc>
        <w:tc>
          <w:tcPr>
            <w:tcW w:w="16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0"/>
                <w:shd w:fill="auto" w:val="clear"/>
              </w:rPr>
              <w:t xml:space="preserve">Четверг</w:t>
            </w:r>
          </w:p>
        </w:tc>
        <w:tc>
          <w:tcPr>
            <w:tcW w:w="16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30"/>
                <w:shd w:fill="auto" w:val="clear"/>
              </w:rPr>
              <w:t xml:space="preserve">Пятница</w:t>
            </w:r>
          </w:p>
        </w:tc>
      </w:tr>
      <w:tr>
        <w:trPr>
          <w:trHeight w:val="1" w:hRule="atLeast"/>
          <w:jc w:val="left"/>
        </w:trPr>
        <w:tc>
          <w:tcPr>
            <w:tcW w:w="2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с 10.00 до 12.00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с 14.00 до 16.00</w:t>
            </w: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с 10.00 до 12.00</w:t>
            </w: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с 14.00 до 16.00</w:t>
            </w: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с 10.00 до 12.00</w:t>
            </w: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с 14.00 до 16.00</w:t>
            </w: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с 10.00 до 12.00</w:t>
            </w: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с 14.00 до 16.00</w:t>
            </w: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с 10.00 до 12.00</w:t>
            </w: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с 14.00 до 16.00</w:t>
            </w:r>
          </w:p>
        </w:tc>
      </w:tr>
      <w:tr>
        <w:trPr>
          <w:trHeight w:val="1" w:hRule="atLeast"/>
          <w:jc w:val="left"/>
        </w:trPr>
        <w:tc>
          <w:tcPr>
            <w:tcW w:w="2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6"/>
                <w:shd w:fill="auto" w:val="clear"/>
              </w:rPr>
              <w:t xml:space="preserve">Брестское областное объединение профсоюзов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Городские, районные объединения профсоюзов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Областная организация профсоюза работников образования и науки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Областная организация профсоюза работников здравоохранения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Областная организация профсоюза работников культуры, информации, спорта и туризма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Областная организация профсоюза работников государственных и других учреждений</w:t>
            </w: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000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Телефоны горячей линии: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672"/>
        <w:gridCol w:w="4673"/>
      </w:tblGrid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Брестское областное объединение профсоюзов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0"/>
                <w:shd w:fill="auto" w:val="clear"/>
              </w:rPr>
              <w:t xml:space="preserve">80162-21-57-50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Областная организация профсоюза работников образования и науки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0"/>
                <w:shd w:fill="auto" w:val="clear"/>
              </w:rPr>
              <w:t xml:space="preserve">80162-21-60-38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Областная организация профсоюза работников здравоохранения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0"/>
                <w:shd w:fill="auto" w:val="clear"/>
              </w:rPr>
              <w:t xml:space="preserve">80162-21-60-45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Областная организация профсоюза работников культуры, информации, спорта и туризма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0"/>
                <w:shd w:fill="auto" w:val="clear"/>
              </w:rPr>
              <w:t xml:space="preserve">80162-59-44-17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Областная организация профсоюза работников государственных и других учреждений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0"/>
                <w:shd w:fill="auto" w:val="clear"/>
              </w:rPr>
              <w:t xml:space="preserve">80162-59-51-45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0"/>
                <w:shd w:fill="auto" w:val="clear"/>
              </w:rPr>
              <w:t xml:space="preserve">80162-53-99-79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г.Барановичи </w:t>
            </w:r>
          </w:p>
        </w:tc>
        <w:tc>
          <w:tcPr>
            <w:tcW w:w="467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80163-65-77-15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Барановичский р-н</w:t>
            </w:r>
          </w:p>
        </w:tc>
        <w:tc>
          <w:tcPr>
            <w:tcW w:w="467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80163-67-00-50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г.Брест</w:t>
            </w:r>
          </w:p>
        </w:tc>
        <w:tc>
          <w:tcPr>
            <w:tcW w:w="467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80162-53-05-64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Брестский р-н</w:t>
            </w:r>
          </w:p>
        </w:tc>
        <w:tc>
          <w:tcPr>
            <w:tcW w:w="467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80162-53-16-80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Березовский р-н</w:t>
            </w:r>
          </w:p>
        </w:tc>
        <w:tc>
          <w:tcPr>
            <w:tcW w:w="467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801643-3-90-91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Ганцевичский р-н</w:t>
            </w:r>
          </w:p>
        </w:tc>
        <w:tc>
          <w:tcPr>
            <w:tcW w:w="467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801646-64-0-66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Дрогичинский р-н</w:t>
            </w:r>
          </w:p>
        </w:tc>
        <w:tc>
          <w:tcPr>
            <w:tcW w:w="467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801644-3-54-26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Жабинковский р-н</w:t>
            </w:r>
          </w:p>
        </w:tc>
        <w:tc>
          <w:tcPr>
            <w:tcW w:w="467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801641-6-95-61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Ивановский р-н</w:t>
            </w:r>
          </w:p>
        </w:tc>
        <w:tc>
          <w:tcPr>
            <w:tcW w:w="467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801652-9-12-85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Ивацевичский р-н</w:t>
            </w:r>
          </w:p>
        </w:tc>
        <w:tc>
          <w:tcPr>
            <w:tcW w:w="467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801645-9-61-04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Каменецкий р-н</w:t>
            </w:r>
          </w:p>
        </w:tc>
        <w:tc>
          <w:tcPr>
            <w:tcW w:w="467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801631-9-64-01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Кобринский р-н</w:t>
            </w:r>
          </w:p>
        </w:tc>
        <w:tc>
          <w:tcPr>
            <w:tcW w:w="467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801642-9-28-53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Лунинецкий р-н</w:t>
            </w:r>
          </w:p>
        </w:tc>
        <w:tc>
          <w:tcPr>
            <w:tcW w:w="467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801647-3-26-63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Ляховичский р-н</w:t>
            </w:r>
          </w:p>
        </w:tc>
        <w:tc>
          <w:tcPr>
            <w:tcW w:w="467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801633-6-23-23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Малоритский р-н</w:t>
            </w:r>
          </w:p>
        </w:tc>
        <w:tc>
          <w:tcPr>
            <w:tcW w:w="467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801651-6-07-55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г. Пинск </w:t>
            </w:r>
          </w:p>
        </w:tc>
        <w:tc>
          <w:tcPr>
            <w:tcW w:w="467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801653-1-73-20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Пинский р-н</w:t>
            </w:r>
          </w:p>
        </w:tc>
        <w:tc>
          <w:tcPr>
            <w:tcW w:w="467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80165-61-70-55 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Пружанский р-н</w:t>
            </w:r>
          </w:p>
        </w:tc>
        <w:tc>
          <w:tcPr>
            <w:tcW w:w="467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801632-2-04-81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0"/>
                <w:shd w:fill="auto" w:val="clear"/>
              </w:rPr>
              <w:t xml:space="preserve">Столинский р-н</w:t>
            </w:r>
          </w:p>
        </w:tc>
        <w:tc>
          <w:tcPr>
            <w:tcW w:w="467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801655-2-02-61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 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Профсоюзные горячие линии по вопросам применения новой системы оплаты труда «бюджетников»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пройдут по всей Беларуси. Жители Барановичей смогут обратиться за консультацией по номеру: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 xml:space="preserve">80163-65-77-15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  <w:t xml:space="preserve">Подробный график проведения информационной кампании :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